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4C45" w14:textId="77777777" w:rsidR="00112C00" w:rsidRPr="00112C00" w:rsidRDefault="00112C00" w:rsidP="00112C00">
      <w:pPr>
        <w:pStyle w:val="Heading2"/>
        <w:rPr>
          <w:sz w:val="28"/>
          <w:szCs w:val="28"/>
        </w:rPr>
      </w:pPr>
      <w:bookmarkStart w:id="0" w:name="_Toc140251941"/>
      <w:r w:rsidRPr="00112C00">
        <w:rPr>
          <w:w w:val="105"/>
          <w:sz w:val="28"/>
          <w:szCs w:val="28"/>
        </w:rPr>
        <w:t>Advertisement</w:t>
      </w:r>
      <w:bookmarkEnd w:id="0"/>
      <w:r w:rsidRPr="00112C00">
        <w:rPr>
          <w:w w:val="105"/>
          <w:sz w:val="28"/>
          <w:szCs w:val="28"/>
        </w:rPr>
        <w:t xml:space="preserve"> </w:t>
      </w:r>
    </w:p>
    <w:p w14:paraId="3A1FD838" w14:textId="77777777" w:rsidR="00112C00" w:rsidRPr="00112C00" w:rsidRDefault="00112C00" w:rsidP="00112C00">
      <w:pPr>
        <w:rPr>
          <w:rFonts w:asciiTheme="minorHAnsi" w:hAnsiTheme="minorHAnsi" w:cstheme="minorHAnsi"/>
        </w:rPr>
      </w:pPr>
    </w:p>
    <w:p w14:paraId="72B6BE6C" w14:textId="77777777" w:rsidR="00112C00" w:rsidRPr="00112C00" w:rsidRDefault="00112C00" w:rsidP="00112C00">
      <w:pPr>
        <w:rPr>
          <w:rFonts w:asciiTheme="minorHAnsi" w:hAnsiTheme="minorHAnsi" w:cstheme="minorHAnsi"/>
          <w:bCs/>
          <w:sz w:val="24"/>
          <w:szCs w:val="24"/>
        </w:rPr>
      </w:pPr>
      <w:r w:rsidRPr="00112C00">
        <w:rPr>
          <w:rFonts w:asciiTheme="minorHAnsi" w:hAnsiTheme="minorHAnsi" w:cstheme="minorHAnsi"/>
          <w:sz w:val="24"/>
          <w:szCs w:val="24"/>
        </w:rPr>
        <w:t xml:space="preserve">The </w:t>
      </w:r>
      <w:hyperlink r:id="rId7" w:history="1">
        <w:r w:rsidRPr="00112C00">
          <w:rPr>
            <w:rStyle w:val="Hyperlink"/>
            <w:rFonts w:asciiTheme="minorHAnsi" w:hAnsiTheme="minorHAnsi" w:cstheme="minorHAnsi"/>
            <w:color w:val="auto"/>
            <w:sz w:val="24"/>
            <w:szCs w:val="24"/>
          </w:rPr>
          <w:t>National Institute on Aging</w:t>
        </w:r>
      </w:hyperlink>
      <w:r w:rsidRPr="00112C00">
        <w:rPr>
          <w:rFonts w:asciiTheme="minorHAnsi" w:hAnsiTheme="minorHAnsi" w:cstheme="minorHAnsi"/>
          <w:sz w:val="24"/>
          <w:szCs w:val="24"/>
        </w:rPr>
        <w:t xml:space="preserve"> (NIA), a major research component of the National Institutes of Health (NIH) and the Department of Health and Human Services (DHHS), is seeking exceptional candidates for </w:t>
      </w:r>
      <w:r w:rsidRPr="00112C00">
        <w:rPr>
          <w:rFonts w:asciiTheme="minorHAnsi" w:hAnsiTheme="minorHAnsi" w:cstheme="minorHAnsi"/>
          <w:b/>
          <w:bCs/>
          <w:sz w:val="24"/>
          <w:szCs w:val="24"/>
        </w:rPr>
        <w:t>Full-Time Remote</w:t>
      </w:r>
      <w:r w:rsidRPr="00112C00">
        <w:rPr>
          <w:rFonts w:asciiTheme="minorHAnsi" w:hAnsiTheme="minorHAnsi" w:cstheme="minorHAnsi"/>
          <w:sz w:val="24"/>
          <w:szCs w:val="24"/>
        </w:rPr>
        <w:t xml:space="preserve"> eligible position of </w:t>
      </w:r>
      <w:r w:rsidRPr="00112C00">
        <w:rPr>
          <w:rFonts w:asciiTheme="minorHAnsi" w:hAnsiTheme="minorHAnsi" w:cstheme="minorHAnsi"/>
          <w:b/>
          <w:bCs/>
          <w:sz w:val="24"/>
          <w:szCs w:val="24"/>
        </w:rPr>
        <w:t xml:space="preserve">Senior Program Advisor for Development and Testing of Interventions Targeting Aging Mechanisms </w:t>
      </w:r>
      <w:r w:rsidRPr="00112C00">
        <w:rPr>
          <w:rFonts w:asciiTheme="minorHAnsi" w:hAnsiTheme="minorHAnsi" w:cstheme="minorHAnsi"/>
          <w:sz w:val="24"/>
          <w:szCs w:val="24"/>
        </w:rPr>
        <w:t>($155,700 - $235,600).</w:t>
      </w:r>
      <w:r w:rsidRPr="00112C00">
        <w:rPr>
          <w:rFonts w:asciiTheme="minorHAnsi" w:hAnsiTheme="minorHAnsi" w:cstheme="minorHAnsi"/>
          <w:bCs/>
          <w:sz w:val="24"/>
          <w:szCs w:val="24"/>
        </w:rPr>
        <w:t xml:space="preserve"> Such interventions may offer novel preventive and therapeutic strategies for multiple age-related conditions. The advisor will</w:t>
      </w:r>
      <w:r w:rsidRPr="00112C00">
        <w:rPr>
          <w:rFonts w:cstheme="minorHAnsi"/>
          <w:sz w:val="24"/>
          <w:szCs w:val="24"/>
        </w:rPr>
        <w:t xml:space="preserve"> provide expertise and advice to </w:t>
      </w:r>
      <w:r w:rsidRPr="00112C00">
        <w:rPr>
          <w:rFonts w:asciiTheme="minorHAnsi" w:hAnsiTheme="minorHAnsi" w:cstheme="minorHAnsi"/>
          <w:sz w:val="24"/>
          <w:szCs w:val="24"/>
        </w:rPr>
        <w:t xml:space="preserve">NIA on activities to improve discovery and development of therapeutics targeting aging mechanisms, and subsequent research pipeline of preclinical and clinical assessment. </w:t>
      </w:r>
    </w:p>
    <w:p w14:paraId="67B42C85" w14:textId="77777777" w:rsidR="00112C00" w:rsidRPr="00112C00" w:rsidRDefault="00112C00" w:rsidP="00112C00">
      <w:pPr>
        <w:rPr>
          <w:rFonts w:asciiTheme="minorHAnsi" w:hAnsiTheme="minorHAnsi" w:cstheme="minorHAnsi"/>
          <w:bCs/>
          <w:sz w:val="24"/>
          <w:szCs w:val="24"/>
        </w:rPr>
      </w:pPr>
    </w:p>
    <w:p w14:paraId="061CCAC1" w14:textId="77777777" w:rsidR="00112C00" w:rsidRPr="00112C00" w:rsidRDefault="00112C00" w:rsidP="00112C00">
      <w:pPr>
        <w:rPr>
          <w:rFonts w:asciiTheme="minorHAnsi" w:hAnsiTheme="minorHAnsi" w:cstheme="minorHAnsi"/>
          <w:bCs/>
          <w:sz w:val="24"/>
          <w:szCs w:val="24"/>
        </w:rPr>
      </w:pPr>
      <w:r w:rsidRPr="00112C00">
        <w:rPr>
          <w:rFonts w:asciiTheme="minorHAnsi" w:hAnsiTheme="minorHAnsi" w:cstheme="minorHAnsi"/>
          <w:bCs/>
          <w:sz w:val="24"/>
          <w:szCs w:val="24"/>
        </w:rPr>
        <w:t xml:space="preserve">The advisor will work with NIA staff and interact with academic researchers and biotech/ pharmaceutical companies. The successful applicant will assess the status of pertinent aging translational research, identify steps to improve coordination among various ongoing activities, identify needs and opportunities for new therapeutics development, identify bottlenecks in the pipeline through clinical testing, and develop activities by which NIA could enhance therapeutics discovery, development, and clinical testing in this field. </w:t>
      </w:r>
    </w:p>
    <w:p w14:paraId="199AF8D3" w14:textId="77777777" w:rsidR="00112C00" w:rsidRPr="00112C00" w:rsidRDefault="00112C00" w:rsidP="00112C00">
      <w:pPr>
        <w:rPr>
          <w:rFonts w:asciiTheme="minorHAnsi" w:hAnsiTheme="minorHAnsi" w:cstheme="minorHAnsi"/>
          <w:bCs/>
          <w:sz w:val="24"/>
          <w:szCs w:val="24"/>
        </w:rPr>
      </w:pPr>
    </w:p>
    <w:p w14:paraId="69487EA8" w14:textId="77777777" w:rsidR="00112C00" w:rsidRPr="00112C00" w:rsidRDefault="00112C00" w:rsidP="00112C00">
      <w:pPr>
        <w:rPr>
          <w:rFonts w:asciiTheme="minorHAnsi" w:hAnsiTheme="minorHAnsi" w:cstheme="minorHAnsi"/>
          <w:bCs/>
          <w:sz w:val="24"/>
          <w:szCs w:val="24"/>
        </w:rPr>
      </w:pPr>
      <w:r w:rsidRPr="00112C00">
        <w:rPr>
          <w:rFonts w:asciiTheme="minorHAnsi" w:hAnsiTheme="minorHAnsi" w:cstheme="minorHAnsi"/>
          <w:bCs/>
          <w:sz w:val="24"/>
          <w:szCs w:val="24"/>
        </w:rPr>
        <w:t xml:space="preserve">Options for performance of these activities remotely rather than at NIA’s Maryland location will be considered. </w:t>
      </w:r>
    </w:p>
    <w:p w14:paraId="1D2FE23A" w14:textId="77777777" w:rsidR="00112C00" w:rsidRPr="00112C00" w:rsidRDefault="00112C00" w:rsidP="00112C00">
      <w:pPr>
        <w:rPr>
          <w:rFonts w:asciiTheme="minorHAnsi" w:hAnsiTheme="minorHAnsi" w:cstheme="minorHAnsi"/>
          <w:bCs/>
          <w:sz w:val="24"/>
          <w:szCs w:val="24"/>
        </w:rPr>
      </w:pPr>
    </w:p>
    <w:p w14:paraId="510693D3" w14:textId="77777777" w:rsidR="00112C00" w:rsidRPr="00112C00" w:rsidRDefault="00112C00" w:rsidP="00112C00">
      <w:pPr>
        <w:rPr>
          <w:rFonts w:asciiTheme="minorHAnsi" w:hAnsiTheme="minorHAnsi" w:cstheme="minorHAnsi"/>
          <w:bCs/>
          <w:sz w:val="24"/>
          <w:szCs w:val="24"/>
        </w:rPr>
      </w:pPr>
      <w:r w:rsidRPr="00112C00">
        <w:rPr>
          <w:rFonts w:asciiTheme="minorHAnsi" w:hAnsiTheme="minorHAnsi" w:cstheme="minorHAnsi"/>
          <w:bCs/>
          <w:sz w:val="24"/>
          <w:szCs w:val="24"/>
        </w:rPr>
        <w:t>An ideal candidate has:</w:t>
      </w:r>
    </w:p>
    <w:p w14:paraId="0461EDCE" w14:textId="77777777" w:rsidR="00112C00" w:rsidRPr="00112C00" w:rsidRDefault="00112C00" w:rsidP="00112C00">
      <w:pPr>
        <w:rPr>
          <w:rFonts w:asciiTheme="minorHAnsi" w:hAnsiTheme="minorHAnsi" w:cstheme="minorHAnsi"/>
          <w:bCs/>
          <w:sz w:val="24"/>
          <w:szCs w:val="24"/>
        </w:rPr>
      </w:pPr>
    </w:p>
    <w:p w14:paraId="3BECBDBF" w14:textId="77777777" w:rsidR="00112C00" w:rsidRPr="00112C00" w:rsidRDefault="00112C00" w:rsidP="00112C00">
      <w:pPr>
        <w:widowControl/>
        <w:numPr>
          <w:ilvl w:val="0"/>
          <w:numId w:val="3"/>
        </w:numPr>
        <w:autoSpaceDE/>
        <w:autoSpaceDN/>
        <w:spacing w:after="120"/>
        <w:rPr>
          <w:rFonts w:asciiTheme="minorHAnsi" w:hAnsiTheme="minorHAnsi" w:cstheme="minorHAnsi"/>
          <w:sz w:val="24"/>
          <w:szCs w:val="24"/>
        </w:rPr>
      </w:pPr>
      <w:r w:rsidRPr="00112C00">
        <w:rPr>
          <w:rFonts w:cstheme="minorHAnsi"/>
          <w:sz w:val="24"/>
          <w:szCs w:val="24"/>
        </w:rPr>
        <w:t xml:space="preserve">Experience in discovery/development and/or preclinical or early-phase clinical testing of new therapeutics, including private sector pharmaceutical and/or biotech experience in these activities. Such experience is a priority.  </w:t>
      </w:r>
    </w:p>
    <w:p w14:paraId="04380DED" w14:textId="641935F0" w:rsidR="00112C00" w:rsidRPr="00112C00" w:rsidRDefault="00112C00" w:rsidP="00112C00">
      <w:pPr>
        <w:widowControl/>
        <w:numPr>
          <w:ilvl w:val="0"/>
          <w:numId w:val="3"/>
        </w:numPr>
        <w:autoSpaceDE/>
        <w:autoSpaceDN/>
        <w:spacing w:after="120"/>
        <w:rPr>
          <w:rFonts w:asciiTheme="minorHAnsi" w:hAnsiTheme="minorHAnsi" w:cstheme="minorHAnsi"/>
          <w:sz w:val="24"/>
          <w:szCs w:val="24"/>
        </w:rPr>
      </w:pPr>
      <w:r w:rsidRPr="00112C00">
        <w:rPr>
          <w:rFonts w:asciiTheme="minorHAnsi" w:hAnsiTheme="minorHAnsi" w:cstheme="minorHAnsi"/>
          <w:sz w:val="24"/>
          <w:szCs w:val="24"/>
        </w:rPr>
        <w:t xml:space="preserve">Expertise in </w:t>
      </w:r>
      <w:r w:rsidRPr="00112C00">
        <w:rPr>
          <w:rFonts w:cstheme="minorHAnsi"/>
          <w:sz w:val="24"/>
          <w:szCs w:val="24"/>
        </w:rPr>
        <w:t>research on aging mechanisms, therapeutic target identification, design and testing of candidate lead compounds, pre-clinical testing, or Phase 1 or 2 clinical trials.</w:t>
      </w:r>
    </w:p>
    <w:p w14:paraId="757ADFC9" w14:textId="6477D452" w:rsidR="00112C00" w:rsidRPr="00112C00" w:rsidRDefault="00112C00" w:rsidP="00112C00">
      <w:pPr>
        <w:widowControl/>
        <w:numPr>
          <w:ilvl w:val="0"/>
          <w:numId w:val="3"/>
        </w:numPr>
        <w:autoSpaceDE/>
        <w:autoSpaceDN/>
        <w:spacing w:after="120"/>
        <w:rPr>
          <w:rFonts w:asciiTheme="minorHAnsi" w:hAnsiTheme="minorHAnsi" w:cstheme="minorHAnsi"/>
          <w:sz w:val="24"/>
          <w:szCs w:val="24"/>
        </w:rPr>
      </w:pPr>
      <w:r w:rsidRPr="00112C00">
        <w:rPr>
          <w:rFonts w:asciiTheme="minorHAnsi" w:hAnsiTheme="minorHAnsi" w:cstheme="minorHAnsi"/>
          <w:sz w:val="24"/>
          <w:szCs w:val="24"/>
        </w:rPr>
        <w:t xml:space="preserve">Leadership in </w:t>
      </w:r>
      <w:r w:rsidRPr="00112C00">
        <w:rPr>
          <w:rFonts w:cstheme="minorHAnsi"/>
          <w:sz w:val="24"/>
          <w:szCs w:val="24"/>
        </w:rPr>
        <w:t xml:space="preserve">evaluation of biomedical intervention studies ranging from pre-clinical through clinical trials. </w:t>
      </w:r>
    </w:p>
    <w:p w14:paraId="05E8260C" w14:textId="77777777" w:rsidR="00112C00" w:rsidRPr="00112C00" w:rsidRDefault="00112C00" w:rsidP="00112C00">
      <w:pPr>
        <w:widowControl/>
        <w:numPr>
          <w:ilvl w:val="0"/>
          <w:numId w:val="3"/>
        </w:numPr>
        <w:autoSpaceDE/>
        <w:autoSpaceDN/>
        <w:spacing w:after="120"/>
        <w:rPr>
          <w:rFonts w:asciiTheme="minorHAnsi" w:hAnsiTheme="minorHAnsi" w:cstheme="minorHAnsi"/>
          <w:sz w:val="24"/>
          <w:szCs w:val="24"/>
        </w:rPr>
      </w:pPr>
      <w:r w:rsidRPr="00112C00">
        <w:rPr>
          <w:rFonts w:asciiTheme="minorHAnsi" w:hAnsiTheme="minorHAnsi" w:cstheme="minorHAnsi"/>
          <w:sz w:val="24"/>
          <w:szCs w:val="24"/>
        </w:rPr>
        <w:t xml:space="preserve">Activities demonstrating sufficient rigor or accomplishment in other fields related to the activities of this position that indicate the applicant’s qualifications for it.  </w:t>
      </w:r>
    </w:p>
    <w:p w14:paraId="36084FEF" w14:textId="77777777" w:rsidR="00112C00" w:rsidRPr="00112C00" w:rsidRDefault="00112C00" w:rsidP="00112C00">
      <w:pPr>
        <w:widowControl/>
        <w:autoSpaceDE/>
        <w:autoSpaceDN/>
        <w:spacing w:after="120"/>
        <w:rPr>
          <w:rFonts w:asciiTheme="minorHAnsi" w:hAnsiTheme="minorHAnsi" w:cstheme="minorHAnsi"/>
          <w:sz w:val="24"/>
          <w:szCs w:val="24"/>
        </w:rPr>
      </w:pPr>
    </w:p>
    <w:p w14:paraId="77EF58CA" w14:textId="77777777" w:rsidR="00112C00" w:rsidRPr="00112C00" w:rsidRDefault="00112C00" w:rsidP="00112C00">
      <w:pPr>
        <w:rPr>
          <w:bCs/>
        </w:rPr>
      </w:pPr>
    </w:p>
    <w:p w14:paraId="342E3CD6" w14:textId="77777777" w:rsidR="00112C00" w:rsidRPr="00112C00" w:rsidRDefault="00112C00" w:rsidP="00112C00">
      <w:pPr>
        <w:jc w:val="both"/>
        <w:rPr>
          <w:rFonts w:asciiTheme="minorHAnsi" w:hAnsiTheme="minorHAnsi" w:cstheme="minorHAnsi"/>
          <w:sz w:val="24"/>
          <w:szCs w:val="24"/>
        </w:rPr>
      </w:pPr>
      <w:r w:rsidRPr="00112C00">
        <w:rPr>
          <w:rFonts w:asciiTheme="minorHAnsi" w:hAnsiTheme="minorHAnsi" w:cstheme="minorHAnsi"/>
          <w:b/>
          <w:bCs/>
          <w:sz w:val="24"/>
          <w:szCs w:val="24"/>
        </w:rPr>
        <w:t>Required Qualifications</w:t>
      </w:r>
      <w:r w:rsidRPr="00112C00">
        <w:rPr>
          <w:rFonts w:asciiTheme="minorHAnsi" w:hAnsiTheme="minorHAnsi" w:cstheme="minorHAnsi"/>
          <w:sz w:val="24"/>
          <w:szCs w:val="24"/>
        </w:rPr>
        <w:t xml:space="preserve">: To be eligible for this position, candidates must be a U.S. citizen, or U.S. National. Foreign nationals or legal permanent residents are not eligible for consideration. Candidates must indicate their U.S. citizenship status on their CV or within their email application submission. </w:t>
      </w:r>
    </w:p>
    <w:p w14:paraId="6CE0B688" w14:textId="77777777" w:rsidR="00112C00" w:rsidRPr="00112C00" w:rsidRDefault="00112C00" w:rsidP="00112C00">
      <w:pPr>
        <w:ind w:left="120"/>
        <w:jc w:val="both"/>
        <w:rPr>
          <w:rFonts w:asciiTheme="minorHAnsi" w:hAnsiTheme="minorHAnsi" w:cstheme="minorHAnsi"/>
          <w:sz w:val="24"/>
          <w:szCs w:val="24"/>
        </w:rPr>
      </w:pPr>
    </w:p>
    <w:p w14:paraId="03C7629E" w14:textId="77777777" w:rsidR="00112C00" w:rsidRPr="00112C00" w:rsidRDefault="00112C00" w:rsidP="00112C00">
      <w:pPr>
        <w:rPr>
          <w:rFonts w:asciiTheme="minorHAnsi" w:hAnsiTheme="minorHAnsi" w:cstheme="minorHAnsi"/>
          <w:sz w:val="24"/>
          <w:szCs w:val="24"/>
        </w:rPr>
      </w:pPr>
      <w:proofErr w:type="gramStart"/>
      <w:r w:rsidRPr="00112C00">
        <w:rPr>
          <w:rFonts w:asciiTheme="minorHAnsi" w:hAnsiTheme="minorHAnsi" w:cstheme="minorHAnsi"/>
          <w:sz w:val="24"/>
          <w:szCs w:val="24"/>
        </w:rPr>
        <w:t>In order to</w:t>
      </w:r>
      <w:proofErr w:type="gramEnd"/>
      <w:r w:rsidRPr="00112C00">
        <w:rPr>
          <w:rFonts w:asciiTheme="minorHAnsi" w:hAnsiTheme="minorHAnsi" w:cstheme="minorHAnsi"/>
          <w:sz w:val="24"/>
          <w:szCs w:val="24"/>
        </w:rPr>
        <w:t xml:space="preserve"> qualify for this position, candidates must possess either a doctoral-level degree in biomedicine or a related biological field or a master's level or higher degree in: </w:t>
      </w:r>
    </w:p>
    <w:p w14:paraId="131EE765" w14:textId="77777777" w:rsidR="00112C00" w:rsidRPr="00112C00" w:rsidRDefault="00112C00" w:rsidP="00112C00">
      <w:pPr>
        <w:widowControl/>
        <w:numPr>
          <w:ilvl w:val="0"/>
          <w:numId w:val="1"/>
        </w:numPr>
        <w:autoSpaceDE/>
        <w:autoSpaceDN/>
        <w:rPr>
          <w:rFonts w:asciiTheme="minorHAnsi" w:hAnsiTheme="minorHAnsi" w:cstheme="minorHAnsi"/>
          <w:sz w:val="24"/>
          <w:szCs w:val="24"/>
        </w:rPr>
      </w:pPr>
      <w:r w:rsidRPr="00112C00">
        <w:rPr>
          <w:rFonts w:asciiTheme="minorHAnsi" w:hAnsiTheme="minorHAnsi" w:cstheme="minorHAnsi"/>
          <w:sz w:val="24"/>
          <w:szCs w:val="24"/>
        </w:rPr>
        <w:t xml:space="preserve">engineering </w:t>
      </w:r>
    </w:p>
    <w:p w14:paraId="239FD6AC" w14:textId="77777777" w:rsidR="00112C00" w:rsidRPr="00112C00" w:rsidRDefault="00112C00" w:rsidP="00112C00">
      <w:pPr>
        <w:widowControl/>
        <w:numPr>
          <w:ilvl w:val="0"/>
          <w:numId w:val="1"/>
        </w:numPr>
        <w:autoSpaceDE/>
        <w:autoSpaceDN/>
        <w:rPr>
          <w:rFonts w:asciiTheme="minorHAnsi" w:hAnsiTheme="minorHAnsi" w:cstheme="minorHAnsi"/>
          <w:sz w:val="24"/>
          <w:szCs w:val="24"/>
        </w:rPr>
      </w:pPr>
      <w:r w:rsidRPr="00112C00">
        <w:rPr>
          <w:rFonts w:asciiTheme="minorHAnsi" w:hAnsiTheme="minorHAnsi" w:cstheme="minorHAnsi"/>
          <w:sz w:val="24"/>
          <w:szCs w:val="24"/>
        </w:rPr>
        <w:t xml:space="preserve">bioinformatics </w:t>
      </w:r>
    </w:p>
    <w:p w14:paraId="45FB5B2D" w14:textId="77777777" w:rsidR="00112C00" w:rsidRPr="00112C00" w:rsidRDefault="00112C00" w:rsidP="00112C00">
      <w:pPr>
        <w:widowControl/>
        <w:numPr>
          <w:ilvl w:val="0"/>
          <w:numId w:val="1"/>
        </w:numPr>
        <w:autoSpaceDE/>
        <w:autoSpaceDN/>
        <w:rPr>
          <w:rFonts w:asciiTheme="minorHAnsi" w:hAnsiTheme="minorHAnsi" w:cstheme="minorHAnsi"/>
          <w:sz w:val="24"/>
          <w:szCs w:val="24"/>
        </w:rPr>
      </w:pPr>
      <w:r w:rsidRPr="00112C00">
        <w:rPr>
          <w:rFonts w:asciiTheme="minorHAnsi" w:hAnsiTheme="minorHAnsi" w:cstheme="minorHAnsi"/>
          <w:sz w:val="24"/>
          <w:szCs w:val="24"/>
        </w:rPr>
        <w:t xml:space="preserve">or an emerging or related scientific field. </w:t>
      </w:r>
    </w:p>
    <w:p w14:paraId="56E5AD41" w14:textId="77777777" w:rsidR="00112C00" w:rsidRPr="00112C00" w:rsidRDefault="00112C00" w:rsidP="00112C00">
      <w:pPr>
        <w:widowControl/>
        <w:autoSpaceDE/>
        <w:autoSpaceDN/>
        <w:ind w:left="1200"/>
        <w:rPr>
          <w:rFonts w:asciiTheme="minorHAnsi" w:hAnsiTheme="minorHAnsi" w:cstheme="minorHAnsi"/>
          <w:sz w:val="24"/>
          <w:szCs w:val="24"/>
        </w:rPr>
      </w:pPr>
    </w:p>
    <w:p w14:paraId="443483A2" w14:textId="77777777" w:rsidR="00112C00" w:rsidRPr="00112C00" w:rsidRDefault="00112C00" w:rsidP="00112C00">
      <w:pPr>
        <w:widowControl/>
        <w:autoSpaceDE/>
        <w:autoSpaceDN/>
        <w:ind w:left="120"/>
        <w:rPr>
          <w:rFonts w:asciiTheme="minorHAnsi" w:hAnsiTheme="minorHAnsi" w:cstheme="minorHAnsi"/>
          <w:sz w:val="24"/>
          <w:szCs w:val="24"/>
        </w:rPr>
      </w:pPr>
      <w:r w:rsidRPr="00112C00">
        <w:rPr>
          <w:rFonts w:asciiTheme="minorHAnsi" w:hAnsiTheme="minorHAnsi" w:cstheme="minorHAnsi"/>
          <w:sz w:val="24"/>
          <w:szCs w:val="24"/>
        </w:rPr>
        <w:t xml:space="preserve">A doctoral-level degree in a biomedical related field or, alternatively, a master’s level or higher degree in other fields pertinent to the activities of this position, including limited to chemistry, bioinformatics, or engineering is preferred. </w:t>
      </w:r>
    </w:p>
    <w:p w14:paraId="2DAAC2B5" w14:textId="77777777" w:rsidR="00112C00" w:rsidRPr="00112C00" w:rsidRDefault="00112C00" w:rsidP="00112C00">
      <w:pPr>
        <w:widowControl/>
        <w:autoSpaceDE/>
        <w:autoSpaceDN/>
        <w:ind w:left="120"/>
        <w:rPr>
          <w:rFonts w:asciiTheme="minorHAnsi" w:hAnsiTheme="minorHAnsi" w:cstheme="minorHAnsi"/>
          <w:sz w:val="24"/>
          <w:szCs w:val="24"/>
        </w:rPr>
      </w:pPr>
    </w:p>
    <w:p w14:paraId="0AFC5FF7" w14:textId="77777777" w:rsidR="00112C00" w:rsidRPr="00112C00" w:rsidRDefault="00112C00" w:rsidP="00112C00">
      <w:pPr>
        <w:spacing w:after="120"/>
        <w:ind w:left="120"/>
        <w:rPr>
          <w:rFonts w:asciiTheme="minorHAnsi" w:hAnsiTheme="minorHAnsi" w:cstheme="minorHAnsi"/>
          <w:sz w:val="24"/>
          <w:szCs w:val="24"/>
        </w:rPr>
      </w:pPr>
      <w:r w:rsidRPr="00112C00">
        <w:rPr>
          <w:rFonts w:asciiTheme="minorHAnsi" w:hAnsiTheme="minorHAnsi" w:cstheme="minorHAnsi"/>
          <w:sz w:val="24"/>
          <w:szCs w:val="24"/>
        </w:rPr>
        <w:t xml:space="preserve">In addition, candidates must have at least one year of experience related to the position, including achievements in </w:t>
      </w:r>
      <w:r w:rsidRPr="00112C00">
        <w:rPr>
          <w:rFonts w:asciiTheme="minorHAnsi" w:hAnsiTheme="minorHAnsi" w:cstheme="minorHAnsi"/>
          <w:b/>
          <w:bCs/>
          <w:sz w:val="24"/>
          <w:szCs w:val="24"/>
        </w:rPr>
        <w:t>one or more</w:t>
      </w:r>
      <w:r w:rsidRPr="00112C00">
        <w:rPr>
          <w:rFonts w:asciiTheme="minorHAnsi" w:hAnsiTheme="minorHAnsi" w:cstheme="minorHAnsi"/>
          <w:sz w:val="24"/>
          <w:szCs w:val="24"/>
        </w:rPr>
        <w:t xml:space="preserve"> of the following areas to demonstrate the individual has received recognition as an expert in the field: </w:t>
      </w:r>
    </w:p>
    <w:p w14:paraId="0EFA41C7" w14:textId="77777777" w:rsidR="00112C00" w:rsidRPr="00112C00" w:rsidRDefault="00112C00" w:rsidP="00112C00">
      <w:pPr>
        <w:widowControl/>
        <w:numPr>
          <w:ilvl w:val="1"/>
          <w:numId w:val="2"/>
        </w:numPr>
        <w:autoSpaceDE/>
        <w:autoSpaceDN/>
        <w:spacing w:after="120"/>
        <w:rPr>
          <w:rFonts w:asciiTheme="minorHAnsi" w:hAnsiTheme="minorHAnsi" w:cstheme="minorHAnsi"/>
          <w:sz w:val="24"/>
          <w:szCs w:val="24"/>
        </w:rPr>
      </w:pPr>
      <w:r w:rsidRPr="00112C00">
        <w:rPr>
          <w:rFonts w:cstheme="minorHAnsi"/>
          <w:sz w:val="24"/>
          <w:szCs w:val="24"/>
        </w:rPr>
        <w:t xml:space="preserve">Has significant experience dealing with complex, precedent-setting evaluation issues, including those arising during product development that involved significant scientific controversy, had far reaching implications for clinical research or resulted in a widespread economic effect in the health-care delivery </w:t>
      </w:r>
      <w:proofErr w:type="gramStart"/>
      <w:r w:rsidRPr="00112C00">
        <w:rPr>
          <w:rFonts w:cstheme="minorHAnsi"/>
          <w:sz w:val="24"/>
          <w:szCs w:val="24"/>
        </w:rPr>
        <w:t>system</w:t>
      </w:r>
      <w:proofErr w:type="gramEnd"/>
    </w:p>
    <w:p w14:paraId="31BA27DD" w14:textId="77777777" w:rsidR="00112C00" w:rsidRPr="00112C00" w:rsidRDefault="00112C00" w:rsidP="00112C00">
      <w:pPr>
        <w:widowControl/>
        <w:numPr>
          <w:ilvl w:val="1"/>
          <w:numId w:val="2"/>
        </w:numPr>
        <w:autoSpaceDE/>
        <w:autoSpaceDN/>
        <w:spacing w:after="120"/>
        <w:rPr>
          <w:rFonts w:asciiTheme="minorHAnsi" w:hAnsiTheme="minorHAnsi" w:cstheme="minorHAnsi"/>
          <w:sz w:val="24"/>
          <w:szCs w:val="24"/>
        </w:rPr>
      </w:pPr>
      <w:r w:rsidRPr="00112C00">
        <w:rPr>
          <w:rFonts w:asciiTheme="minorHAnsi" w:hAnsiTheme="minorHAnsi" w:cstheme="minorHAnsi"/>
          <w:sz w:val="24"/>
          <w:szCs w:val="24"/>
        </w:rPr>
        <w:t xml:space="preserve">Has taken an active role in the development of significant scientific or regulatory guidelines for clinical research </w:t>
      </w:r>
      <w:proofErr w:type="gramStart"/>
      <w:r w:rsidRPr="00112C00">
        <w:rPr>
          <w:rFonts w:asciiTheme="minorHAnsi" w:hAnsiTheme="minorHAnsi" w:cstheme="minorHAnsi"/>
          <w:sz w:val="24"/>
          <w:szCs w:val="24"/>
        </w:rPr>
        <w:t>evaluation</w:t>
      </w:r>
      <w:proofErr w:type="gramEnd"/>
    </w:p>
    <w:p w14:paraId="4D982872" w14:textId="77777777" w:rsidR="00112C00" w:rsidRPr="00112C00" w:rsidRDefault="00112C00" w:rsidP="00112C00">
      <w:pPr>
        <w:pStyle w:val="ListParagraph"/>
        <w:numPr>
          <w:ilvl w:val="1"/>
          <w:numId w:val="2"/>
        </w:numPr>
        <w:spacing w:after="120"/>
        <w:rPr>
          <w:rFonts w:asciiTheme="minorHAnsi" w:hAnsiTheme="minorHAnsi" w:cstheme="minorHAnsi"/>
          <w:sz w:val="24"/>
          <w:szCs w:val="24"/>
          <w:u w:val="single"/>
        </w:rPr>
      </w:pPr>
      <w:r w:rsidRPr="00112C00">
        <w:rPr>
          <w:rFonts w:asciiTheme="minorHAnsi" w:hAnsiTheme="minorHAnsi" w:cstheme="minorHAnsi"/>
          <w:sz w:val="24"/>
          <w:szCs w:val="24"/>
        </w:rPr>
        <w:t>Received invitations to speak at or to chair major national or international meetings and symposia or</w:t>
      </w:r>
    </w:p>
    <w:p w14:paraId="61546B1D" w14:textId="77777777" w:rsidR="00112C00" w:rsidRPr="00112C00" w:rsidRDefault="00112C00" w:rsidP="00112C00">
      <w:pPr>
        <w:pStyle w:val="ListParagraph"/>
        <w:numPr>
          <w:ilvl w:val="1"/>
          <w:numId w:val="2"/>
        </w:numPr>
        <w:spacing w:after="120"/>
        <w:rPr>
          <w:rFonts w:asciiTheme="minorHAnsi" w:hAnsiTheme="minorHAnsi" w:cstheme="minorHAnsi"/>
          <w:sz w:val="24"/>
          <w:szCs w:val="24"/>
        </w:rPr>
      </w:pPr>
      <w:r w:rsidRPr="00112C00">
        <w:rPr>
          <w:rFonts w:asciiTheme="minorHAnsi" w:hAnsiTheme="minorHAnsi" w:cstheme="minorHAnsi"/>
          <w:sz w:val="24"/>
          <w:szCs w:val="24"/>
        </w:rPr>
        <w:t>Meets other criteria demonstrating sufficient rigor or accomplishment in a relevant or closely related field that is necessary to the accomplishment of NIH's mission.</w:t>
      </w:r>
    </w:p>
    <w:p w14:paraId="7E9E1F3B" w14:textId="77777777" w:rsidR="00112C00" w:rsidRPr="00112C00" w:rsidRDefault="00112C00" w:rsidP="00112C00">
      <w:pPr>
        <w:widowControl/>
        <w:autoSpaceDE/>
        <w:autoSpaceDN/>
        <w:spacing w:after="120"/>
        <w:rPr>
          <w:rFonts w:asciiTheme="minorHAnsi" w:hAnsiTheme="minorHAnsi" w:cstheme="minorHAnsi"/>
          <w:sz w:val="24"/>
          <w:szCs w:val="24"/>
        </w:rPr>
      </w:pPr>
    </w:p>
    <w:p w14:paraId="132129A0" w14:textId="77777777" w:rsidR="00112C00" w:rsidRPr="00112C00" w:rsidRDefault="00112C00" w:rsidP="00112C00">
      <w:pPr>
        <w:widowControl/>
        <w:autoSpaceDE/>
        <w:autoSpaceDN/>
        <w:spacing w:after="120"/>
        <w:rPr>
          <w:rFonts w:asciiTheme="minorHAnsi" w:hAnsiTheme="minorHAnsi" w:cstheme="minorHAnsi"/>
          <w:sz w:val="24"/>
          <w:szCs w:val="24"/>
        </w:rPr>
      </w:pPr>
      <w:r w:rsidRPr="00112C00">
        <w:rPr>
          <w:rFonts w:asciiTheme="minorHAnsi" w:hAnsiTheme="minorHAnsi" w:cstheme="minorHAnsi"/>
          <w:sz w:val="24"/>
          <w:szCs w:val="24"/>
        </w:rPr>
        <w:t>If you are a current Federal Title 5 employee, you must have one year of equivalent experience at the GS-14 level or above.</w:t>
      </w:r>
    </w:p>
    <w:p w14:paraId="7A469718" w14:textId="24451C5E" w:rsidR="00112C00" w:rsidRPr="00112C00" w:rsidRDefault="00112C00" w:rsidP="00112C00">
      <w:pPr>
        <w:ind w:left="120"/>
        <w:rPr>
          <w:rFonts w:asciiTheme="minorHAnsi" w:hAnsiTheme="minorHAnsi" w:cstheme="minorHAnsi"/>
          <w:sz w:val="24"/>
          <w:szCs w:val="24"/>
        </w:rPr>
      </w:pPr>
      <w:r w:rsidRPr="00112C00">
        <w:rPr>
          <w:rFonts w:asciiTheme="minorHAnsi" w:hAnsiTheme="minorHAnsi" w:cstheme="minorHAnsi"/>
          <w:b/>
          <w:bCs/>
          <w:sz w:val="24"/>
          <w:szCs w:val="24"/>
        </w:rPr>
        <w:t>Application Process</w:t>
      </w:r>
      <w:r w:rsidRPr="00112C00">
        <w:rPr>
          <w:rFonts w:asciiTheme="minorHAnsi" w:hAnsiTheme="minorHAnsi" w:cstheme="minorHAnsi"/>
          <w:sz w:val="24"/>
          <w:szCs w:val="24"/>
        </w:rPr>
        <w:t xml:space="preserve">: Application packages are to include a CV with bibliography, if applicable, and a statement addressing the qualifications and interest in the position. Application packages can be submitted via email at </w:t>
      </w:r>
      <w:hyperlink r:id="rId8" w:history="1">
        <w:r w:rsidRPr="00112C00">
          <w:rPr>
            <w:rStyle w:val="Hyperlink"/>
            <w:rFonts w:asciiTheme="minorHAnsi" w:hAnsiTheme="minorHAnsi" w:cstheme="minorHAnsi"/>
            <w:color w:val="auto"/>
            <w:sz w:val="24"/>
            <w:szCs w:val="24"/>
          </w:rPr>
          <w:t>NIAJobs@mail.nih.gov</w:t>
        </w:r>
      </w:hyperlink>
      <w:r w:rsidRPr="00112C00">
        <w:rPr>
          <w:rFonts w:asciiTheme="minorHAnsi" w:hAnsiTheme="minorHAnsi" w:cstheme="minorHAnsi"/>
          <w:sz w:val="24"/>
          <w:szCs w:val="24"/>
        </w:rPr>
        <w:t xml:space="preserve">, Attention: Zenaida Cammas. All application materials must be received by </w:t>
      </w:r>
      <w:r w:rsidR="001843EA" w:rsidRPr="00BF0526">
        <w:rPr>
          <w:rFonts w:asciiTheme="minorHAnsi" w:hAnsiTheme="minorHAnsi" w:cstheme="minorHAnsi"/>
          <w:b/>
          <w:bCs/>
          <w:sz w:val="24"/>
          <w:szCs w:val="24"/>
        </w:rPr>
        <w:t>Wednesday, January 3, 2024</w:t>
      </w:r>
      <w:r w:rsidRPr="00112C00">
        <w:rPr>
          <w:rFonts w:asciiTheme="minorHAnsi" w:hAnsiTheme="minorHAnsi" w:cstheme="minorHAnsi"/>
          <w:sz w:val="24"/>
          <w:szCs w:val="24"/>
        </w:rPr>
        <w:t xml:space="preserve">. For further information, please contact Zenaida Cammas at </w:t>
      </w:r>
      <w:hyperlink r:id="rId9" w:history="1">
        <w:r w:rsidRPr="00112C00">
          <w:rPr>
            <w:rStyle w:val="Hyperlink"/>
            <w:rFonts w:asciiTheme="minorHAnsi" w:hAnsiTheme="minorHAnsi" w:cstheme="minorHAnsi"/>
            <w:color w:val="auto"/>
            <w:sz w:val="24"/>
            <w:szCs w:val="24"/>
          </w:rPr>
          <w:t>NIAJobs@mail.nih.gov</w:t>
        </w:r>
      </w:hyperlink>
      <w:r w:rsidRPr="00112C00">
        <w:rPr>
          <w:rFonts w:asciiTheme="minorHAnsi" w:hAnsiTheme="minorHAnsi" w:cstheme="minorHAnsi"/>
          <w:sz w:val="24"/>
          <w:szCs w:val="24"/>
        </w:rPr>
        <w:t xml:space="preserve"> or by phone at 301-594-7877.</w:t>
      </w:r>
    </w:p>
    <w:p w14:paraId="011F67DD" w14:textId="77777777" w:rsidR="00112C00" w:rsidRPr="00112C00" w:rsidRDefault="00112C00" w:rsidP="00112C00">
      <w:pPr>
        <w:ind w:left="120"/>
        <w:rPr>
          <w:rFonts w:asciiTheme="minorHAnsi" w:hAnsiTheme="minorHAnsi" w:cstheme="minorHAnsi"/>
          <w:sz w:val="24"/>
          <w:szCs w:val="24"/>
        </w:rPr>
      </w:pPr>
    </w:p>
    <w:p w14:paraId="2CE02B61" w14:textId="77777777" w:rsidR="00112C00" w:rsidRPr="00112C00" w:rsidRDefault="00112C00" w:rsidP="00112C00">
      <w:pPr>
        <w:ind w:left="120"/>
        <w:rPr>
          <w:rFonts w:asciiTheme="minorHAnsi" w:hAnsiTheme="minorHAnsi" w:cstheme="minorHAnsi"/>
          <w:sz w:val="24"/>
          <w:szCs w:val="24"/>
        </w:rPr>
      </w:pPr>
      <w:r w:rsidRPr="00112C00">
        <w:rPr>
          <w:rFonts w:asciiTheme="minorHAnsi" w:hAnsiTheme="minorHAnsi" w:cstheme="minorHAnsi"/>
          <w:b/>
          <w:bCs/>
          <w:sz w:val="24"/>
          <w:szCs w:val="24"/>
        </w:rPr>
        <w:t>Benefits</w:t>
      </w:r>
      <w:r w:rsidRPr="00112C00">
        <w:rPr>
          <w:rFonts w:asciiTheme="minorHAnsi" w:hAnsiTheme="minorHAnsi" w:cstheme="minorHAnsi"/>
          <w:sz w:val="24"/>
          <w:szCs w:val="24"/>
        </w:rPr>
        <w:t xml:space="preserve">:  A career with the U.S. Government provides employees with a comprehensive benefits package. As a federal employee, you and your family will have access to a range of benefits that are designed to make your federal career very rewarding. </w:t>
      </w:r>
      <w:hyperlink r:id="rId10" w:history="1">
        <w:r w:rsidRPr="00112C00">
          <w:rPr>
            <w:rStyle w:val="Hyperlink"/>
            <w:rFonts w:asciiTheme="minorHAnsi" w:hAnsiTheme="minorHAnsi" w:cstheme="minorHAnsi"/>
            <w:color w:val="auto"/>
            <w:sz w:val="24"/>
            <w:szCs w:val="24"/>
          </w:rPr>
          <w:t xml:space="preserve">Learn more about federal benefits. </w:t>
        </w:r>
      </w:hyperlink>
      <w:r w:rsidRPr="00112C00">
        <w:rPr>
          <w:rFonts w:asciiTheme="minorHAnsi" w:hAnsiTheme="minorHAnsi" w:cstheme="minorHAnsi"/>
          <w:sz w:val="24"/>
          <w:szCs w:val="24"/>
        </w:rPr>
        <w:t xml:space="preserve"> </w:t>
      </w:r>
    </w:p>
    <w:p w14:paraId="2EECF485" w14:textId="77777777" w:rsidR="00112C00" w:rsidRPr="00112C00" w:rsidRDefault="00112C00" w:rsidP="00112C00">
      <w:pPr>
        <w:ind w:left="120"/>
        <w:rPr>
          <w:rFonts w:asciiTheme="minorHAnsi" w:hAnsiTheme="minorHAnsi" w:cstheme="minorHAnsi"/>
          <w:sz w:val="24"/>
          <w:szCs w:val="24"/>
        </w:rPr>
      </w:pPr>
    </w:p>
    <w:p w14:paraId="536D4DD9" w14:textId="77777777" w:rsidR="00112C00" w:rsidRPr="00112C00" w:rsidRDefault="00BF0526" w:rsidP="00112C00">
      <w:pPr>
        <w:ind w:left="120"/>
        <w:rPr>
          <w:rFonts w:asciiTheme="minorHAnsi" w:hAnsiTheme="minorHAnsi" w:cstheme="minorHAnsi"/>
          <w:sz w:val="24"/>
          <w:szCs w:val="24"/>
        </w:rPr>
      </w:pPr>
      <w:hyperlink r:id="rId11" w:history="1">
        <w:r w:rsidR="00112C00" w:rsidRPr="00112C00">
          <w:rPr>
            <w:rStyle w:val="Hyperlink"/>
            <w:rFonts w:asciiTheme="minorHAnsi" w:hAnsiTheme="minorHAnsi" w:cstheme="minorHAnsi"/>
            <w:color w:val="auto"/>
            <w:sz w:val="24"/>
            <w:szCs w:val="24"/>
          </w:rPr>
          <w:t>Review our benefits</w:t>
        </w:r>
      </w:hyperlink>
    </w:p>
    <w:p w14:paraId="23505084" w14:textId="77777777" w:rsidR="00112C00" w:rsidRPr="00112C00" w:rsidRDefault="00112C00" w:rsidP="00112C00">
      <w:pPr>
        <w:ind w:left="120"/>
        <w:rPr>
          <w:rFonts w:asciiTheme="minorHAnsi" w:hAnsiTheme="minorHAnsi" w:cstheme="minorHAnsi"/>
          <w:sz w:val="24"/>
          <w:szCs w:val="24"/>
        </w:rPr>
      </w:pPr>
    </w:p>
    <w:p w14:paraId="5B2DAF78" w14:textId="77777777" w:rsidR="00112C00" w:rsidRPr="00112C00" w:rsidRDefault="00112C00" w:rsidP="00112C00">
      <w:pPr>
        <w:ind w:left="120"/>
        <w:rPr>
          <w:rFonts w:asciiTheme="minorHAnsi" w:hAnsiTheme="minorHAnsi" w:cstheme="minorHAnsi"/>
          <w:sz w:val="24"/>
          <w:szCs w:val="24"/>
        </w:rPr>
      </w:pPr>
      <w:r w:rsidRPr="00112C00">
        <w:rPr>
          <w:rFonts w:asciiTheme="minorHAnsi" w:hAnsiTheme="minorHAnsi" w:cstheme="minorHAnsi"/>
          <w:b/>
          <w:bCs/>
          <w:sz w:val="24"/>
          <w:szCs w:val="24"/>
        </w:rPr>
        <w:t>Equal Employment Opportunity</w:t>
      </w:r>
      <w:r w:rsidRPr="00112C00">
        <w:rPr>
          <w:rFonts w:asciiTheme="minorHAnsi" w:hAnsiTheme="minorHAnsi" w:cstheme="minorHAnsi"/>
          <w:sz w:val="24"/>
          <w:szCs w:val="24"/>
        </w:rPr>
        <w:t xml:space="preserve">: The United States Government does not discriminate in employment </w:t>
      </w:r>
      <w:proofErr w:type="gramStart"/>
      <w:r w:rsidRPr="00112C00">
        <w:rPr>
          <w:rFonts w:asciiTheme="minorHAnsi" w:hAnsiTheme="minorHAnsi" w:cstheme="minorHAnsi"/>
          <w:sz w:val="24"/>
          <w:szCs w:val="24"/>
        </w:rPr>
        <w:t>on the basis of</w:t>
      </w:r>
      <w:proofErr w:type="gramEnd"/>
      <w:r w:rsidRPr="00112C00">
        <w:rPr>
          <w:rFonts w:asciiTheme="minorHAnsi" w:hAnsiTheme="minorHAnsi" w:cstheme="minorHAnsi"/>
          <w:sz w:val="24"/>
          <w:szCs w:val="24"/>
        </w:rPr>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 </w:t>
      </w:r>
      <w:hyperlink r:id="rId12" w:history="1">
        <w:r w:rsidRPr="00112C00">
          <w:rPr>
            <w:rFonts w:asciiTheme="minorHAnsi" w:hAnsiTheme="minorHAnsi" w:cstheme="minorHAnsi"/>
            <w:sz w:val="24"/>
            <w:szCs w:val="24"/>
            <w:u w:val="single"/>
          </w:rPr>
          <w:t xml:space="preserve">Equal Employment Opportunity (EEO) for federal employees and job applicants. </w:t>
        </w:r>
      </w:hyperlink>
    </w:p>
    <w:p w14:paraId="02B16E6E" w14:textId="77777777" w:rsidR="00112C00" w:rsidRPr="00112C00" w:rsidRDefault="00112C00" w:rsidP="00112C00">
      <w:pPr>
        <w:ind w:left="120"/>
        <w:rPr>
          <w:rFonts w:asciiTheme="minorHAnsi" w:hAnsiTheme="minorHAnsi" w:cstheme="minorHAnsi"/>
          <w:sz w:val="24"/>
          <w:szCs w:val="24"/>
        </w:rPr>
      </w:pPr>
    </w:p>
    <w:p w14:paraId="6BE631A6" w14:textId="77777777" w:rsidR="00112C00" w:rsidRPr="00112C00" w:rsidRDefault="00112C00" w:rsidP="00112C00">
      <w:pPr>
        <w:ind w:left="120"/>
        <w:rPr>
          <w:rFonts w:asciiTheme="minorHAnsi" w:hAnsiTheme="minorHAnsi" w:cstheme="minorHAnsi"/>
          <w:sz w:val="24"/>
          <w:szCs w:val="24"/>
        </w:rPr>
      </w:pPr>
      <w:r w:rsidRPr="00112C00">
        <w:rPr>
          <w:rFonts w:asciiTheme="minorHAnsi" w:hAnsiTheme="minorHAnsi" w:cstheme="minorHAnsi"/>
          <w:b/>
          <w:bCs/>
          <w:sz w:val="24"/>
          <w:szCs w:val="24"/>
        </w:rPr>
        <w:t>Standards of Conduct/Financial Disclosure</w:t>
      </w:r>
      <w:r w:rsidRPr="00112C00">
        <w:rPr>
          <w:rFonts w:asciiTheme="minorHAnsi" w:hAnsiTheme="minorHAnsi" w:cstheme="minorHAnsi"/>
          <w:sz w:val="24"/>
          <w:szCs w:val="24"/>
        </w:rPr>
        <w:t xml:space="preserve">:  If selected, you will be required to file an Executive Branch Personnel Public Financial Disclosure Report (OGE-278e and OGE-278-T) in accordance with the Ethics in Government Act of 1978. This report is required prior to employment and on a periodic </w:t>
      </w:r>
      <w:r w:rsidRPr="00112C00">
        <w:rPr>
          <w:rFonts w:asciiTheme="minorHAnsi" w:hAnsiTheme="minorHAnsi" w:cstheme="minorHAnsi"/>
          <w:sz w:val="24"/>
          <w:szCs w:val="24"/>
        </w:rPr>
        <w:lastRenderedPageBreak/>
        <w:t xml:space="preserve">basis during employment. For information, visit the NIH Ethics website: </w:t>
      </w:r>
      <w:hyperlink r:id="rId13" w:history="1">
        <w:r w:rsidRPr="00112C00">
          <w:rPr>
            <w:rStyle w:val="Hyperlink"/>
            <w:rFonts w:asciiTheme="minorHAnsi" w:hAnsiTheme="minorHAnsi" w:cstheme="minorHAnsi"/>
            <w:color w:val="auto"/>
            <w:sz w:val="24"/>
            <w:szCs w:val="24"/>
          </w:rPr>
          <w:t>Public Financial Disclosure Reports (OGE Form 278e and OGE Form 278-T) | ethics (nih.gov)</w:t>
        </w:r>
      </w:hyperlink>
    </w:p>
    <w:p w14:paraId="790B9647" w14:textId="77777777" w:rsidR="00112C00" w:rsidRPr="00112C00" w:rsidRDefault="00112C00" w:rsidP="00112C00">
      <w:pPr>
        <w:ind w:left="120"/>
        <w:rPr>
          <w:rFonts w:asciiTheme="minorHAnsi" w:hAnsiTheme="minorHAnsi" w:cstheme="minorHAnsi"/>
          <w:sz w:val="24"/>
          <w:szCs w:val="24"/>
        </w:rPr>
      </w:pPr>
    </w:p>
    <w:p w14:paraId="4C9124FE" w14:textId="77777777" w:rsidR="00112C00" w:rsidRPr="00112C00" w:rsidRDefault="00112C00" w:rsidP="00112C00">
      <w:pPr>
        <w:ind w:left="120"/>
        <w:rPr>
          <w:rFonts w:asciiTheme="minorHAnsi" w:hAnsiTheme="minorHAnsi" w:cstheme="minorHAnsi"/>
          <w:sz w:val="24"/>
          <w:szCs w:val="24"/>
        </w:rPr>
      </w:pPr>
      <w:r w:rsidRPr="00112C00">
        <w:rPr>
          <w:rFonts w:asciiTheme="minorHAnsi" w:hAnsiTheme="minorHAnsi" w:cstheme="minorHAnsi"/>
          <w:b/>
          <w:bCs/>
          <w:sz w:val="24"/>
          <w:szCs w:val="24"/>
        </w:rPr>
        <w:t>Foreign Education</w:t>
      </w:r>
      <w:r w:rsidRPr="00112C00">
        <w:rPr>
          <w:rFonts w:asciiTheme="minorHAnsi" w:hAnsiTheme="minorHAnsi" w:cstheme="minorHAnsi"/>
          <w:sz w:val="24"/>
          <w:szCs w:val="24"/>
        </w:rPr>
        <w:t xml:space="preserve">: This position has an education requirement. You are strongly encouraged to submit a copy of your transcripts (or a list of your courses including titles, credit hours completed and grades). Unofficial transcripts will be accepted in the application package. Official transcripts will be required from all selectees prior to receiving an official offer. </w:t>
      </w:r>
      <w:hyperlink r:id="rId14" w:history="1">
        <w:r w:rsidRPr="00112C00">
          <w:rPr>
            <w:rFonts w:asciiTheme="minorHAnsi" w:hAnsiTheme="minorHAnsi" w:cstheme="minorHAnsi"/>
            <w:sz w:val="24"/>
            <w:szCs w:val="24"/>
            <w:u w:val="single"/>
          </w:rPr>
          <w:t xml:space="preserve">Learn more about Foreign Education. </w:t>
        </w:r>
      </w:hyperlink>
    </w:p>
    <w:p w14:paraId="77450035" w14:textId="77777777" w:rsidR="00112C00" w:rsidRPr="00112C00" w:rsidRDefault="00112C00" w:rsidP="00112C00">
      <w:pPr>
        <w:ind w:left="120"/>
        <w:rPr>
          <w:rFonts w:asciiTheme="minorHAnsi" w:hAnsiTheme="minorHAnsi" w:cstheme="minorHAnsi"/>
          <w:b/>
          <w:bCs/>
          <w:sz w:val="24"/>
          <w:szCs w:val="24"/>
        </w:rPr>
      </w:pPr>
    </w:p>
    <w:p w14:paraId="2D25EC96" w14:textId="77777777" w:rsidR="00112C00" w:rsidRPr="00112C00" w:rsidRDefault="00112C00" w:rsidP="00112C00">
      <w:pPr>
        <w:ind w:left="120"/>
        <w:rPr>
          <w:rFonts w:asciiTheme="minorHAnsi" w:hAnsiTheme="minorHAnsi" w:cstheme="minorHAnsi"/>
          <w:sz w:val="24"/>
          <w:szCs w:val="24"/>
        </w:rPr>
        <w:sectPr w:rsidR="00112C00" w:rsidRPr="00112C00" w:rsidSect="003A439E">
          <w:headerReference w:type="default" r:id="rId15"/>
          <w:footerReference w:type="even" r:id="rId16"/>
          <w:footerReference w:type="default" r:id="rId17"/>
          <w:pgSz w:w="12240" w:h="15840" w:code="1"/>
          <w:pgMar w:top="907" w:right="1152" w:bottom="1440" w:left="1080" w:header="720" w:footer="720" w:gutter="0"/>
          <w:cols w:space="720"/>
          <w:docGrid w:linePitch="360"/>
        </w:sectPr>
      </w:pPr>
      <w:r w:rsidRPr="00112C00">
        <w:rPr>
          <w:rFonts w:asciiTheme="minorHAnsi" w:hAnsiTheme="minorHAnsi" w:cstheme="minorHAnsi"/>
          <w:b/>
          <w:bCs/>
          <w:sz w:val="24"/>
          <w:szCs w:val="24"/>
        </w:rPr>
        <w:t>Reasonable Accommodation</w:t>
      </w:r>
      <w:r w:rsidRPr="00112C00">
        <w:rPr>
          <w:rFonts w:asciiTheme="minorHAnsi" w:hAnsiTheme="minorHAnsi" w:cstheme="minorHAnsi"/>
          <w:sz w:val="24"/>
          <w:szCs w:val="24"/>
        </w:rPr>
        <w:t>:  You can request a reasonable accommodation at any time during the application or hiring process or while on the job. Requests are considered on a case-by-case basis.</w:t>
      </w:r>
    </w:p>
    <w:p w14:paraId="4EDD488D" w14:textId="77777777" w:rsidR="00077E30" w:rsidRPr="00112C00" w:rsidRDefault="00077E30"/>
    <w:sectPr w:rsidR="00077E30" w:rsidRPr="0011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6527" w14:textId="77777777" w:rsidR="00BF0526" w:rsidRDefault="00BF0526">
      <w:r>
        <w:separator/>
      </w:r>
    </w:p>
  </w:endnote>
  <w:endnote w:type="continuationSeparator" w:id="0">
    <w:p w14:paraId="268DB672" w14:textId="77777777" w:rsidR="00BF0526" w:rsidRDefault="00BF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D17C" w14:textId="77777777" w:rsidR="00680F31" w:rsidRDefault="00BF0526" w:rsidP="000E2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673A3" w14:textId="77777777" w:rsidR="00680F31" w:rsidRDefault="00680F31" w:rsidP="000E2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6884" w14:textId="77777777" w:rsidR="00680F31" w:rsidRDefault="00BF0526" w:rsidP="000E285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8946" w14:textId="77777777" w:rsidR="00BF0526" w:rsidRDefault="00BF0526">
      <w:r>
        <w:separator/>
      </w:r>
    </w:p>
  </w:footnote>
  <w:footnote w:type="continuationSeparator" w:id="0">
    <w:p w14:paraId="667C9D8E" w14:textId="77777777" w:rsidR="00BF0526" w:rsidRDefault="00BF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FBC" w14:textId="77777777" w:rsidR="00680F31" w:rsidRPr="00FF2D61" w:rsidRDefault="00680F31" w:rsidP="000E2858">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3EE7"/>
    <w:multiLevelType w:val="hybridMultilevel"/>
    <w:tmpl w:val="A4DE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A924DF"/>
    <w:multiLevelType w:val="hybridMultilevel"/>
    <w:tmpl w:val="624213B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5BE870E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9167238"/>
    <w:multiLevelType w:val="hybridMultilevel"/>
    <w:tmpl w:val="CF3A888C"/>
    <w:lvl w:ilvl="0" w:tplc="FFFFFFFF">
      <w:start w:val="1"/>
      <w:numFmt w:val="bullet"/>
      <w:lvlText w:val=""/>
      <w:lvlJc w:val="left"/>
      <w:pPr>
        <w:tabs>
          <w:tab w:val="num" w:pos="480"/>
        </w:tabs>
        <w:ind w:left="48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FFFFFFFF">
      <w:numFmt w:val="bullet"/>
      <w:lvlText w:val="•"/>
      <w:lvlJc w:val="left"/>
      <w:pPr>
        <w:ind w:left="1920" w:hanging="360"/>
      </w:pPr>
      <w:rPr>
        <w:rFonts w:ascii="Times New Roman" w:eastAsia="Times New Roman" w:hAnsi="Times New Roman" w:cs="Times New Roman"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Symbol"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Symbol" w:hint="default"/>
      </w:rPr>
    </w:lvl>
    <w:lvl w:ilvl="8" w:tplc="FFFFFFFF" w:tentative="1">
      <w:start w:val="1"/>
      <w:numFmt w:val="bullet"/>
      <w:lvlText w:val=""/>
      <w:lvlJc w:val="left"/>
      <w:pPr>
        <w:tabs>
          <w:tab w:val="num" w:pos="6240"/>
        </w:tabs>
        <w:ind w:left="6240" w:hanging="360"/>
      </w:pPr>
      <w:rPr>
        <w:rFonts w:ascii="Wingdings" w:hAnsi="Wingdings" w:hint="default"/>
      </w:rPr>
    </w:lvl>
  </w:abstractNum>
  <w:num w:numId="1" w16cid:durableId="1209949952">
    <w:abstractNumId w:val="1"/>
  </w:num>
  <w:num w:numId="2" w16cid:durableId="1076591535">
    <w:abstractNumId w:val="2"/>
  </w:num>
  <w:num w:numId="3" w16cid:durableId="80388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0"/>
    <w:rsid w:val="00077E30"/>
    <w:rsid w:val="00112C00"/>
    <w:rsid w:val="001843EA"/>
    <w:rsid w:val="00424474"/>
    <w:rsid w:val="00680F31"/>
    <w:rsid w:val="00BD2AF9"/>
    <w:rsid w:val="00B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4370"/>
  <w15:chartTrackingRefBased/>
  <w15:docId w15:val="{8E8E5B61-A795-4BAD-8932-FAF6711A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00"/>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112C00"/>
    <w:pPr>
      <w:spacing w:before="206"/>
      <w:ind w:left="120"/>
      <w:outlineLvl w:val="1"/>
    </w:pPr>
    <w:rPr>
      <w:rFonts w:ascii="Gill Sans MT" w:eastAsia="Gill Sans MT" w:hAnsi="Gill Sans MT" w:cs="Gill Sans MT"/>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C00"/>
    <w:rPr>
      <w:rFonts w:ascii="Gill Sans MT" w:eastAsia="Gill Sans MT" w:hAnsi="Gill Sans MT" w:cs="Gill Sans MT"/>
      <w:sz w:val="25"/>
      <w:szCs w:val="25"/>
    </w:rPr>
  </w:style>
  <w:style w:type="paragraph" w:styleId="ListParagraph">
    <w:name w:val="List Paragraph"/>
    <w:basedOn w:val="Normal"/>
    <w:uiPriority w:val="34"/>
    <w:qFormat/>
    <w:rsid w:val="00112C00"/>
    <w:pPr>
      <w:spacing w:before="20"/>
      <w:ind w:left="842" w:hanging="353"/>
    </w:pPr>
  </w:style>
  <w:style w:type="paragraph" w:styleId="Header">
    <w:name w:val="header"/>
    <w:basedOn w:val="Normal"/>
    <w:link w:val="HeaderChar"/>
    <w:unhideWhenUsed/>
    <w:rsid w:val="00112C00"/>
    <w:pPr>
      <w:tabs>
        <w:tab w:val="center" w:pos="4680"/>
        <w:tab w:val="right" w:pos="9360"/>
      </w:tabs>
    </w:pPr>
  </w:style>
  <w:style w:type="character" w:customStyle="1" w:styleId="HeaderChar">
    <w:name w:val="Header Char"/>
    <w:basedOn w:val="DefaultParagraphFont"/>
    <w:link w:val="Header"/>
    <w:rsid w:val="00112C00"/>
    <w:rPr>
      <w:rFonts w:ascii="Calibri" w:eastAsia="Calibri" w:hAnsi="Calibri" w:cs="Calibri"/>
    </w:rPr>
  </w:style>
  <w:style w:type="paragraph" w:styleId="Footer">
    <w:name w:val="footer"/>
    <w:basedOn w:val="Normal"/>
    <w:link w:val="FooterChar"/>
    <w:unhideWhenUsed/>
    <w:rsid w:val="00112C00"/>
    <w:pPr>
      <w:tabs>
        <w:tab w:val="center" w:pos="4680"/>
        <w:tab w:val="right" w:pos="9360"/>
      </w:tabs>
    </w:pPr>
  </w:style>
  <w:style w:type="character" w:customStyle="1" w:styleId="FooterChar">
    <w:name w:val="Footer Char"/>
    <w:basedOn w:val="DefaultParagraphFont"/>
    <w:link w:val="Footer"/>
    <w:rsid w:val="00112C00"/>
    <w:rPr>
      <w:rFonts w:ascii="Calibri" w:eastAsia="Calibri" w:hAnsi="Calibri" w:cs="Calibri"/>
    </w:rPr>
  </w:style>
  <w:style w:type="character" w:styleId="Hyperlink">
    <w:name w:val="Hyperlink"/>
    <w:basedOn w:val="DefaultParagraphFont"/>
    <w:uiPriority w:val="99"/>
    <w:unhideWhenUsed/>
    <w:rsid w:val="00112C00"/>
    <w:rPr>
      <w:color w:val="0563C1" w:themeColor="hyperlink"/>
      <w:u w:val="single"/>
    </w:rPr>
  </w:style>
  <w:style w:type="character" w:styleId="PageNumber">
    <w:name w:val="page number"/>
    <w:basedOn w:val="DefaultParagraphFont"/>
    <w:rsid w:val="0011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Jobs@mail.nih.gov" TargetMode="External"/><Relationship Id="rId13" Type="http://schemas.openxmlformats.org/officeDocument/2006/relationships/hyperlink" Target="https://ethics.od.nih.gov/forms2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research/dgcg" TargetMode="External"/><Relationship Id="rId12" Type="http://schemas.openxmlformats.org/officeDocument/2006/relationships/hyperlink" Target="https://www.eeoc.gov/federal-sector/federal-employees-job-applica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nih.gov/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ajobs.gov/Help/working-in-government/bene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AJobs@mail.nih.gov" TargetMode="External"/><Relationship Id="rId14" Type="http://schemas.openxmlformats.org/officeDocument/2006/relationships/hyperlink" Target="https://hr.nih.gov/jobs/announcement-links/instructions-qualifications-based-foreig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138</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Jasmine (NIH/NIA/ERP) [E]</dc:creator>
  <cp:keywords/>
  <dc:description/>
  <cp:lastModifiedBy>Yeung, Jasmine (NIH/NIA/ERP) [E]</cp:lastModifiedBy>
  <cp:revision>4</cp:revision>
  <cp:lastPrinted>2023-10-04T13:59:00Z</cp:lastPrinted>
  <dcterms:created xsi:type="dcterms:W3CDTF">2023-10-04T13:36:00Z</dcterms:created>
  <dcterms:modified xsi:type="dcterms:W3CDTF">2023-10-05T13:28:00Z</dcterms:modified>
</cp:coreProperties>
</file>